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D2D77" w14:textId="717D2FED" w:rsidR="00450BD8" w:rsidRDefault="00E72F76" w:rsidP="00450BD8">
      <w:pPr>
        <w:jc w:val="center"/>
        <w:rPr>
          <w:b/>
          <w:bCs/>
        </w:rPr>
      </w:pPr>
      <w:r>
        <w:rPr>
          <w:b/>
          <w:bCs/>
        </w:rPr>
        <w:t xml:space="preserve">BCUHB </w:t>
      </w:r>
      <w:r w:rsidR="00450BD8" w:rsidRPr="00450BD8">
        <w:rPr>
          <w:b/>
          <w:bCs/>
        </w:rPr>
        <w:t>Antiplatelet Guidance for Dental Treatment</w:t>
      </w:r>
    </w:p>
    <w:p w14:paraId="0F50F730" w14:textId="197550F2" w:rsidR="00450BD8" w:rsidRPr="00EF3024" w:rsidRDefault="00450BD8" w:rsidP="00EF3024">
      <w:pPr>
        <w:jc w:val="both"/>
        <w:rPr>
          <w:sz w:val="22"/>
          <w:szCs w:val="22"/>
        </w:rPr>
      </w:pPr>
      <w:r w:rsidRPr="00EF3024">
        <w:rPr>
          <w:sz w:val="22"/>
          <w:szCs w:val="22"/>
        </w:rPr>
        <w:t>This guidance relates to the management of patients taking antiplatelet therapy for a cardiac condition and who are undergoing dental treatment.</w:t>
      </w:r>
      <w:r w:rsidR="009B44B0" w:rsidRPr="00EF3024">
        <w:rPr>
          <w:sz w:val="22"/>
          <w:szCs w:val="22"/>
        </w:rPr>
        <w:t xml:space="preserve"> Please refer to the 2022 Guidance from </w:t>
      </w:r>
      <w:r w:rsidR="005E3855">
        <w:rPr>
          <w:sz w:val="22"/>
          <w:szCs w:val="22"/>
        </w:rPr>
        <w:t xml:space="preserve">the </w:t>
      </w:r>
      <w:r w:rsidR="009B44B0" w:rsidRPr="00EF3024">
        <w:rPr>
          <w:sz w:val="22"/>
          <w:szCs w:val="22"/>
        </w:rPr>
        <w:t>SDCEP on the management of dental patients taking anticoagulant or antiplatelet drugs (</w:t>
      </w:r>
      <w:hyperlink r:id="rId7" w:history="1">
        <w:r w:rsidR="009B44B0" w:rsidRPr="00EF3024">
          <w:rPr>
            <w:rStyle w:val="Hyperlink"/>
            <w:sz w:val="22"/>
            <w:szCs w:val="22"/>
          </w:rPr>
          <w:t>SDCEP Management of Dental Patients Taking Anticoagulants or Antiplatelet Drugs (2nd Edition)</w:t>
        </w:r>
      </w:hyperlink>
      <w:r w:rsidR="009B44B0" w:rsidRPr="00EF3024">
        <w:rPr>
          <w:sz w:val="22"/>
          <w:szCs w:val="22"/>
        </w:rPr>
        <w:t xml:space="preserve">) </w:t>
      </w:r>
    </w:p>
    <w:p w14:paraId="7BDB1DEB" w14:textId="385FF335" w:rsidR="00450BD8" w:rsidRPr="00EF3024" w:rsidRDefault="00450BD8" w:rsidP="00450BD8">
      <w:pPr>
        <w:rPr>
          <w:b/>
          <w:bCs/>
          <w:sz w:val="22"/>
          <w:szCs w:val="22"/>
        </w:rPr>
      </w:pPr>
      <w:r w:rsidRPr="00EF3024">
        <w:rPr>
          <w:b/>
          <w:bCs/>
          <w:sz w:val="22"/>
          <w:szCs w:val="22"/>
        </w:rPr>
        <w:t>Principles</w:t>
      </w:r>
    </w:p>
    <w:p w14:paraId="2A79B993" w14:textId="7D670DFD" w:rsidR="009B44B0" w:rsidRPr="00EF3024" w:rsidRDefault="009B44B0" w:rsidP="009B44B0">
      <w:pPr>
        <w:pStyle w:val="ListParagraph"/>
        <w:numPr>
          <w:ilvl w:val="0"/>
          <w:numId w:val="1"/>
        </w:numPr>
        <w:ind w:hanging="357"/>
        <w:contextualSpacing w:val="0"/>
        <w:jc w:val="both"/>
        <w:rPr>
          <w:sz w:val="22"/>
          <w:szCs w:val="22"/>
        </w:rPr>
      </w:pPr>
      <w:r w:rsidRPr="00EF3024">
        <w:rPr>
          <w:sz w:val="22"/>
          <w:szCs w:val="22"/>
        </w:rPr>
        <w:t>Patients taking antiplatelet drugs tend to have prolonged bleeding times</w:t>
      </w:r>
      <w:r w:rsidR="00C61C4C" w:rsidRPr="00EF3024">
        <w:rPr>
          <w:sz w:val="22"/>
          <w:szCs w:val="22"/>
        </w:rPr>
        <w:t xml:space="preserve"> (up to an hour) and this needs to be taken into consideration when planning treatment</w:t>
      </w:r>
      <w:r w:rsidR="00B325E7">
        <w:rPr>
          <w:sz w:val="22"/>
          <w:szCs w:val="22"/>
        </w:rPr>
        <w:t>. Risk of post-operative bleeding is likely to be higher for dental patients on dual antiplatelet therapy than those taking single or no antiplatelet therapy.</w:t>
      </w:r>
    </w:p>
    <w:p w14:paraId="470124E2" w14:textId="4E29DC80" w:rsidR="009B44B0" w:rsidRPr="00EF3024" w:rsidRDefault="00C61C4C" w:rsidP="009B44B0">
      <w:pPr>
        <w:pStyle w:val="ListParagraph"/>
        <w:numPr>
          <w:ilvl w:val="0"/>
          <w:numId w:val="1"/>
        </w:numPr>
        <w:ind w:hanging="357"/>
        <w:contextualSpacing w:val="0"/>
        <w:jc w:val="both"/>
        <w:rPr>
          <w:sz w:val="22"/>
          <w:szCs w:val="22"/>
        </w:rPr>
      </w:pPr>
      <w:r w:rsidRPr="00EF3024">
        <w:rPr>
          <w:sz w:val="22"/>
          <w:szCs w:val="22"/>
        </w:rPr>
        <w:t xml:space="preserve">When consider dental treatment, the goal </w:t>
      </w:r>
      <w:r w:rsidR="00547BC1" w:rsidRPr="00EF3024">
        <w:rPr>
          <w:sz w:val="22"/>
          <w:szCs w:val="22"/>
        </w:rPr>
        <w:t>is to balance the risk of bleeding from a planned dental procedure against the risk of a cardiac event or complication from cessation of antiplatelet therapy.</w:t>
      </w:r>
    </w:p>
    <w:p w14:paraId="3708B151" w14:textId="16C30A44" w:rsidR="00450BD8" w:rsidRPr="00EF3024" w:rsidRDefault="00450BD8" w:rsidP="009B44B0">
      <w:pPr>
        <w:pStyle w:val="ListParagraph"/>
        <w:numPr>
          <w:ilvl w:val="0"/>
          <w:numId w:val="1"/>
        </w:numPr>
        <w:ind w:hanging="357"/>
        <w:contextualSpacing w:val="0"/>
        <w:jc w:val="both"/>
        <w:rPr>
          <w:sz w:val="22"/>
          <w:szCs w:val="22"/>
        </w:rPr>
      </w:pPr>
      <w:r w:rsidRPr="00EF3024">
        <w:rPr>
          <w:sz w:val="22"/>
          <w:szCs w:val="22"/>
        </w:rPr>
        <w:t xml:space="preserve">Cardiac </w:t>
      </w:r>
      <w:r w:rsidR="009B44B0" w:rsidRPr="00EF3024">
        <w:rPr>
          <w:sz w:val="22"/>
          <w:szCs w:val="22"/>
        </w:rPr>
        <w:t>Issues</w:t>
      </w:r>
    </w:p>
    <w:p w14:paraId="5143173C" w14:textId="79E9D1ED" w:rsidR="00450BD8" w:rsidRPr="00EF3024" w:rsidRDefault="00450BD8" w:rsidP="009B44B0">
      <w:pPr>
        <w:pStyle w:val="ListParagraph"/>
        <w:numPr>
          <w:ilvl w:val="1"/>
          <w:numId w:val="1"/>
        </w:numPr>
        <w:ind w:hanging="357"/>
        <w:contextualSpacing w:val="0"/>
        <w:jc w:val="both"/>
        <w:rPr>
          <w:sz w:val="22"/>
          <w:szCs w:val="22"/>
        </w:rPr>
      </w:pPr>
      <w:r w:rsidRPr="00EF3024">
        <w:rPr>
          <w:sz w:val="22"/>
          <w:szCs w:val="22"/>
        </w:rPr>
        <w:t>Establish what antiplatelet regimen the patient is taking i.e. single or dual antiplatelets and which combination. Common permutations for cardiac patients might be aspirin alone, aspirin plus clopidogrel and aspirin plus ticagrelor.</w:t>
      </w:r>
    </w:p>
    <w:p w14:paraId="6F742944" w14:textId="0F7F1AE8" w:rsidR="00450BD8" w:rsidRPr="00EF3024" w:rsidRDefault="00450BD8" w:rsidP="009B44B0">
      <w:pPr>
        <w:pStyle w:val="ListParagraph"/>
        <w:numPr>
          <w:ilvl w:val="1"/>
          <w:numId w:val="1"/>
        </w:numPr>
        <w:ind w:hanging="357"/>
        <w:contextualSpacing w:val="0"/>
        <w:jc w:val="both"/>
        <w:rPr>
          <w:sz w:val="22"/>
          <w:szCs w:val="22"/>
        </w:rPr>
      </w:pPr>
      <w:r w:rsidRPr="00EF3024">
        <w:rPr>
          <w:sz w:val="22"/>
          <w:szCs w:val="22"/>
        </w:rPr>
        <w:t xml:space="preserve">The cardiac condition </w:t>
      </w:r>
      <w:r w:rsidR="00547BC1" w:rsidRPr="00EF3024">
        <w:rPr>
          <w:sz w:val="22"/>
          <w:szCs w:val="22"/>
        </w:rPr>
        <w:t xml:space="preserve">for which they are taking the antiplatelet treatment for </w:t>
      </w:r>
      <w:r w:rsidRPr="00EF3024">
        <w:rPr>
          <w:sz w:val="22"/>
          <w:szCs w:val="22"/>
        </w:rPr>
        <w:t>(</w:t>
      </w:r>
      <w:r w:rsidR="00547BC1" w:rsidRPr="00EF3024">
        <w:rPr>
          <w:sz w:val="22"/>
          <w:szCs w:val="22"/>
        </w:rPr>
        <w:t xml:space="preserve">e.g. </w:t>
      </w:r>
      <w:r w:rsidRPr="00EF3024">
        <w:rPr>
          <w:sz w:val="22"/>
          <w:szCs w:val="22"/>
        </w:rPr>
        <w:t>angina, previous myocardial infarction</w:t>
      </w:r>
      <w:r w:rsidR="00C61C4C" w:rsidRPr="00EF3024">
        <w:rPr>
          <w:sz w:val="22"/>
          <w:szCs w:val="22"/>
        </w:rPr>
        <w:t xml:space="preserve"> (‘heart attack’)</w:t>
      </w:r>
      <w:r w:rsidRPr="00EF3024">
        <w:rPr>
          <w:sz w:val="22"/>
          <w:szCs w:val="22"/>
        </w:rPr>
        <w:t xml:space="preserve"> and/or percutaneous coronary intervention or ‘stenting’, coronary artery bypass grafting) and when this was started. The most recent cardiac event or intervention takes precedence</w:t>
      </w:r>
      <w:r w:rsidR="00547BC1" w:rsidRPr="00EF3024">
        <w:rPr>
          <w:sz w:val="22"/>
          <w:szCs w:val="22"/>
        </w:rPr>
        <w:t xml:space="preserve"> in terms of consideration of timing.</w:t>
      </w:r>
    </w:p>
    <w:p w14:paraId="5AC1E780" w14:textId="08C6E620" w:rsidR="00C61C4C" w:rsidRPr="00EF3024" w:rsidRDefault="00C61C4C" w:rsidP="009B44B0">
      <w:pPr>
        <w:pStyle w:val="ListParagraph"/>
        <w:numPr>
          <w:ilvl w:val="1"/>
          <w:numId w:val="1"/>
        </w:numPr>
        <w:ind w:hanging="357"/>
        <w:contextualSpacing w:val="0"/>
        <w:jc w:val="both"/>
        <w:rPr>
          <w:sz w:val="22"/>
          <w:szCs w:val="22"/>
        </w:rPr>
      </w:pPr>
      <w:r w:rsidRPr="00EF3024">
        <w:rPr>
          <w:sz w:val="22"/>
          <w:szCs w:val="22"/>
        </w:rPr>
        <w:t>Typically</w:t>
      </w:r>
      <w:r w:rsidR="00EF3024" w:rsidRPr="00EF3024">
        <w:rPr>
          <w:sz w:val="22"/>
          <w:szCs w:val="22"/>
        </w:rPr>
        <w:t>,</w:t>
      </w:r>
      <w:r w:rsidRPr="00EF3024">
        <w:rPr>
          <w:sz w:val="22"/>
          <w:szCs w:val="22"/>
        </w:rPr>
        <w:t xml:space="preserve"> dual antiplatelet therapy is used for 6 – 12 months after a stenting procedure or after a heart attack.</w:t>
      </w:r>
    </w:p>
    <w:p w14:paraId="72FF179A" w14:textId="0ED17FCD" w:rsidR="00547BC1" w:rsidRPr="00EF3024" w:rsidRDefault="00547BC1" w:rsidP="009B44B0">
      <w:pPr>
        <w:pStyle w:val="ListParagraph"/>
        <w:numPr>
          <w:ilvl w:val="0"/>
          <w:numId w:val="1"/>
        </w:numPr>
        <w:ind w:hanging="357"/>
        <w:contextualSpacing w:val="0"/>
        <w:jc w:val="both"/>
        <w:rPr>
          <w:sz w:val="22"/>
          <w:szCs w:val="22"/>
        </w:rPr>
      </w:pPr>
      <w:r w:rsidRPr="00EF3024">
        <w:rPr>
          <w:sz w:val="22"/>
          <w:szCs w:val="22"/>
        </w:rPr>
        <w:t xml:space="preserve">Dental </w:t>
      </w:r>
      <w:r w:rsidR="009B44B0" w:rsidRPr="00EF3024">
        <w:rPr>
          <w:sz w:val="22"/>
          <w:szCs w:val="22"/>
        </w:rPr>
        <w:t>Issues</w:t>
      </w:r>
    </w:p>
    <w:p w14:paraId="28304D17" w14:textId="34A7667B" w:rsidR="00547BC1" w:rsidRPr="00EF3024" w:rsidRDefault="00547BC1" w:rsidP="009B44B0">
      <w:pPr>
        <w:pStyle w:val="ListParagraph"/>
        <w:numPr>
          <w:ilvl w:val="1"/>
          <w:numId w:val="1"/>
        </w:numPr>
        <w:ind w:hanging="357"/>
        <w:contextualSpacing w:val="0"/>
        <w:jc w:val="both"/>
        <w:rPr>
          <w:sz w:val="22"/>
          <w:szCs w:val="22"/>
        </w:rPr>
      </w:pPr>
      <w:r w:rsidRPr="00EF3024">
        <w:rPr>
          <w:sz w:val="22"/>
          <w:szCs w:val="22"/>
        </w:rPr>
        <w:t>What is the bleeding risk of the proposed procedure (See Figure 1)</w:t>
      </w:r>
    </w:p>
    <w:p w14:paraId="10AAE3A7" w14:textId="1AEDC993" w:rsidR="00547BC1" w:rsidRPr="00EF3024" w:rsidRDefault="00B325E7" w:rsidP="009B44B0">
      <w:pPr>
        <w:pStyle w:val="ListParagraph"/>
        <w:numPr>
          <w:ilvl w:val="1"/>
          <w:numId w:val="1"/>
        </w:numPr>
        <w:ind w:hanging="357"/>
        <w:contextualSpacing w:val="0"/>
        <w:jc w:val="both"/>
        <w:rPr>
          <w:sz w:val="22"/>
          <w:szCs w:val="22"/>
        </w:rPr>
      </w:pPr>
      <w:r>
        <w:rPr>
          <w:sz w:val="22"/>
          <w:szCs w:val="22"/>
        </w:rPr>
        <w:t>W</w:t>
      </w:r>
      <w:r w:rsidRPr="00EF3024">
        <w:rPr>
          <w:sz w:val="22"/>
          <w:szCs w:val="22"/>
        </w:rPr>
        <w:t xml:space="preserve">here </w:t>
      </w:r>
      <w:r>
        <w:rPr>
          <w:sz w:val="22"/>
          <w:szCs w:val="22"/>
        </w:rPr>
        <w:t xml:space="preserve">antiplatelet </w:t>
      </w:r>
      <w:r w:rsidRPr="00EF3024">
        <w:rPr>
          <w:sz w:val="22"/>
          <w:szCs w:val="22"/>
        </w:rPr>
        <w:t>treatment is time-limited</w:t>
      </w:r>
      <w:r>
        <w:rPr>
          <w:sz w:val="22"/>
          <w:szCs w:val="22"/>
        </w:rPr>
        <w:t>, consider delaying</w:t>
      </w:r>
      <w:r w:rsidR="00547BC1" w:rsidRPr="00EF3024">
        <w:rPr>
          <w:sz w:val="22"/>
          <w:szCs w:val="22"/>
        </w:rPr>
        <w:t xml:space="preserve"> </w:t>
      </w:r>
      <w:r>
        <w:rPr>
          <w:sz w:val="22"/>
          <w:szCs w:val="22"/>
        </w:rPr>
        <w:t>a non-urgent invasive</w:t>
      </w:r>
      <w:r w:rsidR="00547BC1" w:rsidRPr="00EF3024">
        <w:rPr>
          <w:sz w:val="22"/>
          <w:szCs w:val="22"/>
        </w:rPr>
        <w:t xml:space="preserve"> procedure</w:t>
      </w:r>
      <w:r>
        <w:rPr>
          <w:sz w:val="22"/>
          <w:szCs w:val="22"/>
        </w:rPr>
        <w:t>.</w:t>
      </w:r>
    </w:p>
    <w:p w14:paraId="7C6BD72D" w14:textId="30CC45E2" w:rsidR="009B44B0" w:rsidRPr="00EF3024" w:rsidRDefault="00C61C4C" w:rsidP="00C61C4C">
      <w:pPr>
        <w:pStyle w:val="ListParagraph"/>
        <w:numPr>
          <w:ilvl w:val="1"/>
          <w:numId w:val="1"/>
        </w:numPr>
        <w:ind w:hanging="357"/>
        <w:contextualSpacing w:val="0"/>
        <w:jc w:val="both"/>
        <w:rPr>
          <w:sz w:val="22"/>
          <w:szCs w:val="22"/>
        </w:rPr>
      </w:pPr>
      <w:r w:rsidRPr="00EF3024">
        <w:rPr>
          <w:sz w:val="22"/>
          <w:szCs w:val="22"/>
        </w:rPr>
        <w:t>For procedures with a higher risk of bleeding consider undertaking these in a staged manner. Use local</w:t>
      </w:r>
      <w:r w:rsidR="009B44B0" w:rsidRPr="00EF3024">
        <w:rPr>
          <w:sz w:val="22"/>
          <w:szCs w:val="22"/>
        </w:rPr>
        <w:t xml:space="preserve"> haemostatic measures to manage bleeding.</w:t>
      </w:r>
    </w:p>
    <w:p w14:paraId="79CA1D5F" w14:textId="7F2A124F" w:rsidR="00EF3024" w:rsidRPr="00EF3024" w:rsidRDefault="00EF3024" w:rsidP="00EF3024">
      <w:pPr>
        <w:pStyle w:val="ListParagraph"/>
        <w:numPr>
          <w:ilvl w:val="0"/>
          <w:numId w:val="1"/>
        </w:numPr>
        <w:contextualSpacing w:val="0"/>
        <w:jc w:val="both"/>
        <w:rPr>
          <w:sz w:val="22"/>
          <w:szCs w:val="22"/>
        </w:rPr>
      </w:pPr>
      <w:r w:rsidRPr="00EF3024">
        <w:rPr>
          <w:sz w:val="22"/>
          <w:szCs w:val="22"/>
        </w:rPr>
        <w:t>For a patient who is taking single or dual antiplatelet therapy, treat without interrupting their antiplatelet medication</w:t>
      </w:r>
      <w:r>
        <w:rPr>
          <w:sz w:val="22"/>
          <w:szCs w:val="22"/>
        </w:rPr>
        <w:t xml:space="preserve"> (See Figure 2)</w:t>
      </w:r>
      <w:r w:rsidRPr="00EF3024">
        <w:rPr>
          <w:sz w:val="22"/>
          <w:szCs w:val="22"/>
        </w:rPr>
        <w:t>.</w:t>
      </w:r>
    </w:p>
    <w:p w14:paraId="4AA06ED3" w14:textId="1A2FE1F4" w:rsidR="009B44B0" w:rsidRDefault="009B44B0"/>
    <w:p w14:paraId="7DF61A10" w14:textId="77777777" w:rsidR="00EF3024" w:rsidRDefault="00EF3024">
      <w:pPr>
        <w:rPr>
          <w:b/>
          <w:bCs/>
        </w:rPr>
      </w:pPr>
      <w:r>
        <w:rPr>
          <w:b/>
          <w:bCs/>
        </w:rPr>
        <w:br w:type="page"/>
      </w:r>
    </w:p>
    <w:p w14:paraId="27270D94" w14:textId="121921DB" w:rsidR="00547BC1" w:rsidRPr="009B44B0" w:rsidRDefault="00547BC1" w:rsidP="00547BC1">
      <w:pPr>
        <w:rPr>
          <w:b/>
          <w:bCs/>
        </w:rPr>
      </w:pPr>
      <w:r w:rsidRPr="009B44B0">
        <w:rPr>
          <w:b/>
          <w:bCs/>
        </w:rPr>
        <w:lastRenderedPageBreak/>
        <w:t>Figure 1:</w:t>
      </w:r>
      <w:r w:rsidR="00EF3024">
        <w:rPr>
          <w:b/>
          <w:bCs/>
        </w:rPr>
        <w:t xml:space="preserve"> Bleeding risks for dental procedures (from SDCEP guidelines)</w:t>
      </w:r>
    </w:p>
    <w:p w14:paraId="33716E57" w14:textId="4049354C" w:rsidR="00547BC1" w:rsidRDefault="009B44B0" w:rsidP="00EF3024">
      <w:pPr>
        <w:jc w:val="center"/>
      </w:pPr>
      <w:r w:rsidRPr="009B44B0">
        <w:rPr>
          <w:noProof/>
        </w:rPr>
        <w:drawing>
          <wp:inline distT="0" distB="0" distL="0" distR="0" wp14:anchorId="538E8CAF" wp14:editId="367B67E3">
            <wp:extent cx="4857750" cy="4224833"/>
            <wp:effectExtent l="0" t="0" r="0" b="4445"/>
            <wp:docPr id="635218564"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18564" name="Picture 1" descr="A table with text on it&#10;&#10;Description automatically generated"/>
                    <pic:cNvPicPr/>
                  </pic:nvPicPr>
                  <pic:blipFill>
                    <a:blip r:embed="rId8"/>
                    <a:stretch>
                      <a:fillRect/>
                    </a:stretch>
                  </pic:blipFill>
                  <pic:spPr>
                    <a:xfrm>
                      <a:off x="0" y="0"/>
                      <a:ext cx="4861908" cy="4228449"/>
                    </a:xfrm>
                    <a:prstGeom prst="rect">
                      <a:avLst/>
                    </a:prstGeom>
                  </pic:spPr>
                </pic:pic>
              </a:graphicData>
            </a:graphic>
          </wp:inline>
        </w:drawing>
      </w:r>
    </w:p>
    <w:p w14:paraId="11FBB32A" w14:textId="172099A9" w:rsidR="00EF3024" w:rsidRPr="00EF3024" w:rsidRDefault="00EF3024" w:rsidP="00547BC1">
      <w:pPr>
        <w:rPr>
          <w:b/>
          <w:bCs/>
        </w:rPr>
      </w:pPr>
      <w:r w:rsidRPr="00EF3024">
        <w:rPr>
          <w:b/>
          <w:bCs/>
        </w:rPr>
        <w:t xml:space="preserve">Figure 2: </w:t>
      </w:r>
      <w:r>
        <w:rPr>
          <w:b/>
          <w:bCs/>
        </w:rPr>
        <w:t xml:space="preserve"> Management of antiplatelet medication (from SDCEP guidelines)</w:t>
      </w:r>
    </w:p>
    <w:p w14:paraId="3CA2597E" w14:textId="1A9240FF" w:rsidR="00EF3024" w:rsidRDefault="00EF3024" w:rsidP="00EF3024">
      <w:pPr>
        <w:jc w:val="center"/>
      </w:pPr>
      <w:r w:rsidRPr="00EF3024">
        <w:rPr>
          <w:noProof/>
        </w:rPr>
        <w:drawing>
          <wp:inline distT="0" distB="0" distL="0" distR="0" wp14:anchorId="77D44469" wp14:editId="25515ED1">
            <wp:extent cx="3982006" cy="3562847"/>
            <wp:effectExtent l="0" t="0" r="0" b="0"/>
            <wp:docPr id="1405988397" name="Picture 1" descr="A diagram of a d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88397" name="Picture 1" descr="A diagram of a drug&#10;&#10;Description automatically generated"/>
                    <pic:cNvPicPr/>
                  </pic:nvPicPr>
                  <pic:blipFill>
                    <a:blip r:embed="rId9"/>
                    <a:stretch>
                      <a:fillRect/>
                    </a:stretch>
                  </pic:blipFill>
                  <pic:spPr>
                    <a:xfrm>
                      <a:off x="0" y="0"/>
                      <a:ext cx="3982006" cy="3562847"/>
                    </a:xfrm>
                    <a:prstGeom prst="rect">
                      <a:avLst/>
                    </a:prstGeom>
                  </pic:spPr>
                </pic:pic>
              </a:graphicData>
            </a:graphic>
          </wp:inline>
        </w:drawing>
      </w:r>
    </w:p>
    <w:sectPr w:rsidR="00EF302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61592" w14:textId="77777777" w:rsidR="00622AF0" w:rsidRDefault="00622AF0" w:rsidP="00EF3024">
      <w:pPr>
        <w:spacing w:after="0" w:line="240" w:lineRule="auto"/>
      </w:pPr>
      <w:r>
        <w:separator/>
      </w:r>
    </w:p>
  </w:endnote>
  <w:endnote w:type="continuationSeparator" w:id="0">
    <w:p w14:paraId="13899E82" w14:textId="77777777" w:rsidR="00622AF0" w:rsidRDefault="00622AF0" w:rsidP="00EF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8"/>
      <w:gridCol w:w="4488"/>
    </w:tblGrid>
    <w:tr w:rsidR="00EF3024" w14:paraId="4B28C543" w14:textId="77777777">
      <w:trPr>
        <w:trHeight w:hRule="exact" w:val="115"/>
        <w:jc w:val="center"/>
      </w:trPr>
      <w:tc>
        <w:tcPr>
          <w:tcW w:w="4686" w:type="dxa"/>
          <w:shd w:val="clear" w:color="auto" w:fill="156082" w:themeFill="accent1"/>
          <w:tcMar>
            <w:top w:w="0" w:type="dxa"/>
            <w:bottom w:w="0" w:type="dxa"/>
          </w:tcMar>
        </w:tcPr>
        <w:p w14:paraId="1381A3AB" w14:textId="77777777" w:rsidR="00EF3024" w:rsidRDefault="00EF3024">
          <w:pPr>
            <w:pStyle w:val="Header"/>
            <w:rPr>
              <w:caps/>
              <w:sz w:val="18"/>
            </w:rPr>
          </w:pPr>
        </w:p>
      </w:tc>
      <w:tc>
        <w:tcPr>
          <w:tcW w:w="4674" w:type="dxa"/>
          <w:shd w:val="clear" w:color="auto" w:fill="156082" w:themeFill="accent1"/>
          <w:tcMar>
            <w:top w:w="0" w:type="dxa"/>
            <w:bottom w:w="0" w:type="dxa"/>
          </w:tcMar>
        </w:tcPr>
        <w:p w14:paraId="6F708846" w14:textId="77777777" w:rsidR="00EF3024" w:rsidRDefault="00EF3024">
          <w:pPr>
            <w:pStyle w:val="Header"/>
            <w:jc w:val="right"/>
            <w:rPr>
              <w:caps/>
              <w:sz w:val="18"/>
            </w:rPr>
          </w:pPr>
        </w:p>
      </w:tc>
    </w:tr>
    <w:tr w:rsidR="00EF3024" w14:paraId="7B655A35" w14:textId="77777777">
      <w:trPr>
        <w:jc w:val="center"/>
      </w:trPr>
      <w:sdt>
        <w:sdtPr>
          <w:rPr>
            <w:caps/>
            <w:color w:val="808080" w:themeColor="background1" w:themeShade="80"/>
            <w:sz w:val="18"/>
            <w:szCs w:val="18"/>
          </w:rPr>
          <w:alias w:val="Author"/>
          <w:tag w:val=""/>
          <w:id w:val="1534151868"/>
          <w:placeholder>
            <w:docPart w:val="89A986058A7A4BA68F9D89AE5A6FC82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6248177" w14:textId="571C3954" w:rsidR="00EF3024" w:rsidRDefault="005E3855">
              <w:pPr>
                <w:pStyle w:val="Footer"/>
                <w:rPr>
                  <w:caps/>
                  <w:color w:val="808080" w:themeColor="background1" w:themeShade="80"/>
                  <w:sz w:val="18"/>
                  <w:szCs w:val="18"/>
                </w:rPr>
              </w:pPr>
              <w:r>
                <w:rPr>
                  <w:caps/>
                  <w:color w:val="808080" w:themeColor="background1" w:themeShade="80"/>
                  <w:sz w:val="18"/>
                  <w:szCs w:val="18"/>
                </w:rPr>
                <w:t>BCUHB Guidelines 2024</w:t>
              </w:r>
            </w:p>
          </w:tc>
        </w:sdtContent>
      </w:sdt>
      <w:tc>
        <w:tcPr>
          <w:tcW w:w="4674" w:type="dxa"/>
          <w:shd w:val="clear" w:color="auto" w:fill="auto"/>
          <w:vAlign w:val="center"/>
        </w:tcPr>
        <w:p w14:paraId="7187A22C" w14:textId="77777777" w:rsidR="00EF3024" w:rsidRDefault="00EF302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ACDFE0F" w14:textId="77777777" w:rsidR="00EF3024" w:rsidRDefault="00EF3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E512C" w14:textId="77777777" w:rsidR="00622AF0" w:rsidRDefault="00622AF0" w:rsidP="00EF3024">
      <w:pPr>
        <w:spacing w:after="0" w:line="240" w:lineRule="auto"/>
      </w:pPr>
      <w:r>
        <w:separator/>
      </w:r>
    </w:p>
  </w:footnote>
  <w:footnote w:type="continuationSeparator" w:id="0">
    <w:p w14:paraId="57F2DA64" w14:textId="77777777" w:rsidR="00622AF0" w:rsidRDefault="00622AF0" w:rsidP="00EF3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0068"/>
    <w:multiLevelType w:val="hybridMultilevel"/>
    <w:tmpl w:val="6CAED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1F49F9"/>
    <w:multiLevelType w:val="hybridMultilevel"/>
    <w:tmpl w:val="3CA2A0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58608602">
    <w:abstractNumId w:val="0"/>
  </w:num>
  <w:num w:numId="2" w16cid:durableId="128708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D8"/>
    <w:rsid w:val="00450BD8"/>
    <w:rsid w:val="00547BC1"/>
    <w:rsid w:val="005E3855"/>
    <w:rsid w:val="00605535"/>
    <w:rsid w:val="00622AF0"/>
    <w:rsid w:val="009B44B0"/>
    <w:rsid w:val="00A25029"/>
    <w:rsid w:val="00B325E7"/>
    <w:rsid w:val="00C61C4C"/>
    <w:rsid w:val="00D76C34"/>
    <w:rsid w:val="00E72F76"/>
    <w:rsid w:val="00EF3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A61C"/>
  <w15:chartTrackingRefBased/>
  <w15:docId w15:val="{68BDB3F9-8967-4B08-B4D9-0A6044C8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BD8"/>
    <w:rPr>
      <w:rFonts w:eastAsiaTheme="majorEastAsia" w:cstheme="majorBidi"/>
      <w:color w:val="272727" w:themeColor="text1" w:themeTint="D8"/>
    </w:rPr>
  </w:style>
  <w:style w:type="paragraph" w:styleId="Title">
    <w:name w:val="Title"/>
    <w:basedOn w:val="Normal"/>
    <w:next w:val="Normal"/>
    <w:link w:val="TitleChar"/>
    <w:uiPriority w:val="10"/>
    <w:qFormat/>
    <w:rsid w:val="00450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BD8"/>
    <w:pPr>
      <w:spacing w:before="160"/>
      <w:jc w:val="center"/>
    </w:pPr>
    <w:rPr>
      <w:i/>
      <w:iCs/>
      <w:color w:val="404040" w:themeColor="text1" w:themeTint="BF"/>
    </w:rPr>
  </w:style>
  <w:style w:type="character" w:customStyle="1" w:styleId="QuoteChar">
    <w:name w:val="Quote Char"/>
    <w:basedOn w:val="DefaultParagraphFont"/>
    <w:link w:val="Quote"/>
    <w:uiPriority w:val="29"/>
    <w:rsid w:val="00450BD8"/>
    <w:rPr>
      <w:i/>
      <w:iCs/>
      <w:color w:val="404040" w:themeColor="text1" w:themeTint="BF"/>
    </w:rPr>
  </w:style>
  <w:style w:type="paragraph" w:styleId="ListParagraph">
    <w:name w:val="List Paragraph"/>
    <w:basedOn w:val="Normal"/>
    <w:uiPriority w:val="34"/>
    <w:qFormat/>
    <w:rsid w:val="00450BD8"/>
    <w:pPr>
      <w:ind w:left="720"/>
      <w:contextualSpacing/>
    </w:pPr>
  </w:style>
  <w:style w:type="character" w:styleId="IntenseEmphasis">
    <w:name w:val="Intense Emphasis"/>
    <w:basedOn w:val="DefaultParagraphFont"/>
    <w:uiPriority w:val="21"/>
    <w:qFormat/>
    <w:rsid w:val="00450BD8"/>
    <w:rPr>
      <w:i/>
      <w:iCs/>
      <w:color w:val="0F4761" w:themeColor="accent1" w:themeShade="BF"/>
    </w:rPr>
  </w:style>
  <w:style w:type="paragraph" w:styleId="IntenseQuote">
    <w:name w:val="Intense Quote"/>
    <w:basedOn w:val="Normal"/>
    <w:next w:val="Normal"/>
    <w:link w:val="IntenseQuoteChar"/>
    <w:uiPriority w:val="30"/>
    <w:qFormat/>
    <w:rsid w:val="00450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BD8"/>
    <w:rPr>
      <w:i/>
      <w:iCs/>
      <w:color w:val="0F4761" w:themeColor="accent1" w:themeShade="BF"/>
    </w:rPr>
  </w:style>
  <w:style w:type="character" w:styleId="IntenseReference">
    <w:name w:val="Intense Reference"/>
    <w:basedOn w:val="DefaultParagraphFont"/>
    <w:uiPriority w:val="32"/>
    <w:qFormat/>
    <w:rsid w:val="00450BD8"/>
    <w:rPr>
      <w:b/>
      <w:bCs/>
      <w:smallCaps/>
      <w:color w:val="0F4761" w:themeColor="accent1" w:themeShade="BF"/>
      <w:spacing w:val="5"/>
    </w:rPr>
  </w:style>
  <w:style w:type="character" w:styleId="Hyperlink">
    <w:name w:val="Hyperlink"/>
    <w:basedOn w:val="DefaultParagraphFont"/>
    <w:uiPriority w:val="99"/>
    <w:semiHidden/>
    <w:unhideWhenUsed/>
    <w:rsid w:val="009B44B0"/>
    <w:rPr>
      <w:color w:val="0000FF"/>
      <w:u w:val="single"/>
    </w:rPr>
  </w:style>
  <w:style w:type="paragraph" w:styleId="Header">
    <w:name w:val="header"/>
    <w:basedOn w:val="Normal"/>
    <w:link w:val="HeaderChar"/>
    <w:uiPriority w:val="99"/>
    <w:unhideWhenUsed/>
    <w:rsid w:val="00EF3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024"/>
  </w:style>
  <w:style w:type="paragraph" w:styleId="Footer">
    <w:name w:val="footer"/>
    <w:basedOn w:val="Normal"/>
    <w:link w:val="FooterChar"/>
    <w:uiPriority w:val="99"/>
    <w:unhideWhenUsed/>
    <w:rsid w:val="00EF3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A986058A7A4BA68F9D89AE5A6FC828"/>
        <w:category>
          <w:name w:val="General"/>
          <w:gallery w:val="placeholder"/>
        </w:category>
        <w:types>
          <w:type w:val="bbPlcHdr"/>
        </w:types>
        <w:behaviors>
          <w:behavior w:val="content"/>
        </w:behaviors>
        <w:guid w:val="{BA61487D-C28B-48A8-8D5E-9B767D0CE039}"/>
      </w:docPartPr>
      <w:docPartBody>
        <w:p w:rsidR="001B2CC9" w:rsidRDefault="00033E4B" w:rsidP="00033E4B">
          <w:pPr>
            <w:pStyle w:val="89A986058A7A4BA68F9D89AE5A6FC82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4B"/>
    <w:rsid w:val="00033E4B"/>
    <w:rsid w:val="001B2CC9"/>
    <w:rsid w:val="009565B4"/>
    <w:rsid w:val="00D76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E4B"/>
    <w:rPr>
      <w:color w:val="808080"/>
    </w:rPr>
  </w:style>
  <w:style w:type="paragraph" w:customStyle="1" w:styleId="89A986058A7A4BA68F9D89AE5A6FC828">
    <w:name w:val="89A986058A7A4BA68F9D89AE5A6FC828"/>
    <w:rsid w:val="00033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Dental antiplatelet therapy</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antiplatelet therapy</dc:title>
  <dc:subject/>
  <dc:creator>BCUHB Guidelines 2024</dc:creator>
  <cp:keywords/>
  <dc:description/>
  <cp:lastModifiedBy>Michael Strother</cp:lastModifiedBy>
  <cp:revision>2</cp:revision>
  <dcterms:created xsi:type="dcterms:W3CDTF">2024-07-21T19:54:00Z</dcterms:created>
  <dcterms:modified xsi:type="dcterms:W3CDTF">2024-07-21T19:54:00Z</dcterms:modified>
</cp:coreProperties>
</file>